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75AE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A60B26">
            <w:rPr>
              <w:rFonts w:ascii="Times New Roman" w:hAnsi="Times New Roman"/>
              <w:b/>
              <w:szCs w:val="22"/>
            </w:rPr>
            <w:t>ГОДТ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 xml:space="preserve">цех № 4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>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4F00EA">
            <w:rPr>
              <w:rFonts w:ascii="Times New Roman" w:hAnsi="Times New Roman"/>
              <w:b/>
              <w:sz w:val="23"/>
              <w:szCs w:val="23"/>
            </w:rPr>
            <w:t xml:space="preserve">установку </w:t>
          </w:r>
          <w:r w:rsidR="00A60B26">
            <w:rPr>
              <w:rFonts w:ascii="Times New Roman" w:hAnsi="Times New Roman"/>
              <w:b/>
              <w:sz w:val="23"/>
              <w:szCs w:val="23"/>
            </w:rPr>
            <w:t>ГОДТ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цех №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>4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A60B26">
            <w:rPr>
              <w:rFonts w:ascii="Times New Roman" w:hAnsi="Times New Roman"/>
              <w:sz w:val="23"/>
              <w:szCs w:val="23"/>
            </w:rPr>
            <w:t xml:space="preserve"> апрель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A60B26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="00A60B26">
            <w:rPr>
              <w:rFonts w:ascii="Times New Roman" w:hAnsi="Times New Roman"/>
              <w:sz w:val="23"/>
              <w:szCs w:val="23"/>
            </w:rPr>
            <w:t>начало работ – 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A60B26">
            <w:rPr>
              <w:rFonts w:ascii="Times New Roman" w:hAnsi="Times New Roman"/>
              <w:sz w:val="23"/>
              <w:szCs w:val="23"/>
            </w:rPr>
            <w:t>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275AE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lastRenderedPageBreak/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275AEE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CE7615">
            <w:rPr>
              <w:rFonts w:ascii="Times New Roman" w:hAnsi="Times New Roman"/>
              <w:sz w:val="23"/>
              <w:szCs w:val="23"/>
            </w:rPr>
            <w:t>3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A60B26">
            <w:rPr>
              <w:sz w:val="23"/>
              <w:szCs w:val="23"/>
            </w:rPr>
            <w:t>30.09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lastRenderedPageBreak/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BD3000">
            <w:rPr>
              <w:rFonts w:ascii="Times New Roman" w:hAnsi="Times New Roman"/>
              <w:sz w:val="23"/>
              <w:szCs w:val="23"/>
            </w:rPr>
            <w:t xml:space="preserve">монту установки </w:t>
          </w:r>
          <w:r w:rsidR="00A60B26">
            <w:rPr>
              <w:rFonts w:ascii="Times New Roman" w:hAnsi="Times New Roman"/>
              <w:szCs w:val="22"/>
            </w:rPr>
            <w:t>ГОДТ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</w:t>
          </w:r>
          <w:bookmarkStart w:id="15" w:name="_GoBack"/>
          <w:bookmarkEnd w:id="15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AEE" w:rsidRDefault="00275AEE" w:rsidP="00D736E8">
      <w:pPr>
        <w:spacing w:before="0"/>
      </w:pPr>
      <w:r>
        <w:separator/>
      </w:r>
    </w:p>
  </w:endnote>
  <w:endnote w:type="continuationSeparator" w:id="0">
    <w:p w:rsidR="00275AEE" w:rsidRDefault="00275AE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A60B2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AEE" w:rsidRDefault="00275AEE" w:rsidP="00D736E8">
      <w:pPr>
        <w:spacing w:before="0"/>
      </w:pPr>
      <w:r>
        <w:separator/>
      </w:r>
    </w:p>
  </w:footnote>
  <w:footnote w:type="continuationSeparator" w:id="0">
    <w:p w:rsidR="00275AEE" w:rsidRDefault="00275AE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B31E0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E6589"/>
    <w:rsid w:val="00702919"/>
    <w:rsid w:val="00724D87"/>
    <w:rsid w:val="00763E4D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83AF6"/>
    <w:rsid w:val="00A850FD"/>
    <w:rsid w:val="00A96A68"/>
    <w:rsid w:val="00A97028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3FEE"/>
    <w:rsid w:val="00DB56C9"/>
    <w:rsid w:val="00DC106B"/>
    <w:rsid w:val="00DC320F"/>
    <w:rsid w:val="00DC72BE"/>
    <w:rsid w:val="00DD526E"/>
    <w:rsid w:val="00DD57CF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A538B"/>
    <w:rsid w:val="00420917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B2543"/>
    <w:rsid w:val="009F44BC"/>
    <w:rsid w:val="00B06720"/>
    <w:rsid w:val="00B34A05"/>
    <w:rsid w:val="00B8736F"/>
    <w:rsid w:val="00C06D7D"/>
    <w:rsid w:val="00C8059B"/>
    <w:rsid w:val="00D90076"/>
    <w:rsid w:val="00E968F2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969C-5D21-422C-A521-592F51FF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5494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13</cp:revision>
  <cp:lastPrinted>2015-12-03T06:22:00Z</cp:lastPrinted>
  <dcterms:created xsi:type="dcterms:W3CDTF">2017-04-10T07:58:00Z</dcterms:created>
  <dcterms:modified xsi:type="dcterms:W3CDTF">2017-08-28T06:42:00Z</dcterms:modified>
</cp:coreProperties>
</file>